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1B037">
      <w:pPr>
        <w:widowControl/>
        <w:spacing w:line="560" w:lineRule="exact"/>
        <w:jc w:val="center"/>
        <w:outlineLvl w:val="0"/>
        <w:rPr>
          <w:rFonts w:ascii="方正小标宋简体" w:hAnsi="Helvetica" w:eastAsia="方正小标宋简体" w:cs="Helvetica"/>
          <w:spacing w:val="-20"/>
          <w:kern w:val="36"/>
          <w:sz w:val="44"/>
          <w:szCs w:val="44"/>
        </w:rPr>
      </w:pPr>
    </w:p>
    <w:p w14:paraId="1556E16F">
      <w:pPr>
        <w:widowControl/>
        <w:spacing w:line="560" w:lineRule="exact"/>
        <w:jc w:val="center"/>
        <w:outlineLvl w:val="0"/>
        <w:rPr>
          <w:rFonts w:ascii="方正小标宋简体" w:hAnsi="Helvetica" w:eastAsia="方正小标宋简体" w:cs="Helvetica"/>
          <w:spacing w:val="-20"/>
          <w:kern w:val="36"/>
          <w:sz w:val="44"/>
          <w:szCs w:val="44"/>
        </w:rPr>
      </w:pPr>
    </w:p>
    <w:p w14:paraId="5B97C4F3">
      <w:pPr>
        <w:widowControl/>
        <w:spacing w:line="560" w:lineRule="exact"/>
        <w:jc w:val="center"/>
        <w:outlineLvl w:val="0"/>
        <w:rPr>
          <w:rFonts w:ascii="方正小标宋简体" w:hAnsi="Helvetica" w:eastAsia="方正小标宋简体" w:cs="Helvetica"/>
          <w:spacing w:val="-20"/>
          <w:kern w:val="36"/>
          <w:sz w:val="44"/>
          <w:szCs w:val="44"/>
        </w:rPr>
      </w:pPr>
      <w:r>
        <w:rPr>
          <w:rFonts w:hint="eastAsia" w:ascii="方正小标宋简体" w:hAnsi="Helvetica" w:eastAsia="方正小标宋简体" w:cs="Helvetica"/>
          <w:spacing w:val="-20"/>
          <w:kern w:val="36"/>
          <w:sz w:val="44"/>
          <w:szCs w:val="44"/>
        </w:rPr>
        <w:t>安徽财经大学“百川名品奖助学金”评选细则</w:t>
      </w:r>
    </w:p>
    <w:p w14:paraId="5EEA58E1">
      <w:pPr>
        <w:widowControl/>
        <w:spacing w:line="560" w:lineRule="exact"/>
        <w:ind w:firstLine="555"/>
        <w:rPr>
          <w:rFonts w:ascii="仿宋" w:hAnsi="仿宋" w:eastAsia="仿宋" w:cs="Helvetica"/>
          <w:color w:val="333333"/>
          <w:kern w:val="0"/>
          <w:sz w:val="32"/>
          <w:szCs w:val="32"/>
        </w:rPr>
      </w:pPr>
    </w:p>
    <w:p w14:paraId="3964916C">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为体现百川名品供应链股份有限公司对家庭经济困难大学生的关怀，精准资助和有效激励品学兼优、家庭经济困难的大学生勤奋学习、顺利完成学业，按照“公开、公平、公正”的原则，百川名品供应链股份有限公司通过安徽财经大学教育基金会在安徽财经大学设立“百川名品奖助学金”。为保证本奖助学金评选工作顺利进行，经与百川名品供应链股份有限公司商议，特制订本工作细则。</w:t>
      </w:r>
    </w:p>
    <w:p w14:paraId="70C0CC69">
      <w:pPr>
        <w:widowControl/>
        <w:spacing w:line="560" w:lineRule="exact"/>
        <w:ind w:firstLine="555"/>
        <w:rPr>
          <w:rFonts w:ascii="黑体" w:hAnsi="黑体" w:eastAsia="黑体" w:cs="Helvetica"/>
          <w:color w:val="333333"/>
          <w:kern w:val="0"/>
          <w:sz w:val="32"/>
          <w:szCs w:val="32"/>
        </w:rPr>
      </w:pPr>
      <w:r>
        <w:rPr>
          <w:rFonts w:hint="eastAsia" w:ascii="黑体" w:hAnsi="黑体" w:eastAsia="黑体" w:cs="Helvetica"/>
          <w:color w:val="333333"/>
          <w:kern w:val="0"/>
          <w:sz w:val="32"/>
          <w:szCs w:val="32"/>
        </w:rPr>
        <w:t>一、资助对象和标准</w:t>
      </w:r>
    </w:p>
    <w:p w14:paraId="5B9A4674">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（一）奖助对象</w:t>
      </w:r>
    </w:p>
    <w:p w14:paraId="19C2FDA2">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取得安徽财经大学正式学籍，正式报到注册的安徽财经大学工商管理学院、经济学院、国际经济贸易学院的在校大二、大三、大四本科生。</w:t>
      </w:r>
    </w:p>
    <w:p w14:paraId="53B0CFBD">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（二）金额标准</w:t>
      </w:r>
    </w:p>
    <w:p w14:paraId="7EA95370">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1.奖学金：每年奖励</w:t>
      </w:r>
      <w:r>
        <w:rPr>
          <w:rFonts w:hint="eastAsia" w:ascii="仿宋" w:hAnsi="仿宋" w:eastAsia="仿宋" w:cs="Helvetica"/>
          <w:color w:val="333333"/>
          <w:kern w:val="0"/>
          <w:sz w:val="32"/>
          <w:szCs w:val="32"/>
          <w:lang w:val="en-US" w:eastAsia="zh-CN"/>
        </w:rPr>
        <w:t>5</w:t>
      </w:r>
      <w:r>
        <w:rPr>
          <w:rFonts w:hint="eastAsia" w:ascii="仿宋" w:hAnsi="仿宋" w:eastAsia="仿宋" w:cs="Helvetica"/>
          <w:color w:val="333333"/>
          <w:kern w:val="0"/>
          <w:sz w:val="32"/>
          <w:szCs w:val="32"/>
        </w:rPr>
        <w:t>名学生，5000元/人/年。</w:t>
      </w:r>
    </w:p>
    <w:p w14:paraId="2ED7AB92">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2.助学金：每年资助</w:t>
      </w:r>
      <w:r>
        <w:rPr>
          <w:rFonts w:hint="eastAsia" w:ascii="仿宋" w:hAnsi="仿宋" w:eastAsia="仿宋" w:cs="Helvetica"/>
          <w:color w:val="333333"/>
          <w:kern w:val="0"/>
          <w:sz w:val="32"/>
          <w:szCs w:val="32"/>
          <w:lang w:val="en-US" w:eastAsia="zh-CN"/>
        </w:rPr>
        <w:t>5</w:t>
      </w:r>
      <w:r>
        <w:rPr>
          <w:rFonts w:hint="eastAsia" w:ascii="仿宋" w:hAnsi="仿宋" w:eastAsia="仿宋" w:cs="Helvetica"/>
          <w:color w:val="333333"/>
          <w:kern w:val="0"/>
          <w:sz w:val="32"/>
          <w:szCs w:val="32"/>
        </w:rPr>
        <w:t>名学生，5000元/人/年。</w:t>
      </w:r>
    </w:p>
    <w:p w14:paraId="1A1EE59F">
      <w:pPr>
        <w:widowControl/>
        <w:spacing w:line="560" w:lineRule="exact"/>
        <w:ind w:firstLine="555"/>
        <w:rPr>
          <w:rFonts w:ascii="黑体" w:hAnsi="黑体" w:eastAsia="黑体" w:cs="Helvetica"/>
          <w:color w:val="333333"/>
          <w:kern w:val="0"/>
          <w:sz w:val="32"/>
          <w:szCs w:val="32"/>
        </w:rPr>
      </w:pPr>
      <w:r>
        <w:rPr>
          <w:rFonts w:hint="eastAsia" w:ascii="黑体" w:hAnsi="黑体" w:eastAsia="黑体" w:cs="Helvetica"/>
          <w:color w:val="333333"/>
          <w:kern w:val="0"/>
          <w:sz w:val="32"/>
          <w:szCs w:val="32"/>
        </w:rPr>
        <w:t>二、评选条件</w:t>
      </w:r>
    </w:p>
    <w:p w14:paraId="6EF21E1F">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（一）基本条件</w:t>
      </w:r>
    </w:p>
    <w:p w14:paraId="42165DBE">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1.热爱祖国，拥护中国共产党的领导；</w:t>
      </w:r>
    </w:p>
    <w:p w14:paraId="63BE14B3">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2.道德品质良好，乐于助人，积极参加社会活动；</w:t>
      </w:r>
    </w:p>
    <w:p w14:paraId="1949F259">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3.申请奖学金的，学习勤奋，上学年所有课程成绩不低于80分或良好。</w:t>
      </w:r>
    </w:p>
    <w:p w14:paraId="7D4AA167">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4.申请助学金的，家庭经济困难，生活俭朴；学习勤奋，上学年所有课程成绩不低于70分或良好。</w:t>
      </w:r>
    </w:p>
    <w:p w14:paraId="19148FCA">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（二）评选资格禁止性条件</w:t>
      </w:r>
    </w:p>
    <w:p w14:paraId="48F40FE8">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有下列情况之一者不予参评：</w:t>
      </w:r>
    </w:p>
    <w:p w14:paraId="38BB4A34">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1.在上学年内受到处分的；</w:t>
      </w:r>
    </w:p>
    <w:p w14:paraId="5E8D96FD">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2.有违反社会公德、违反校规校纪行为已经或者正在接受审查并拟给予纪律处分的；</w:t>
      </w:r>
    </w:p>
    <w:p w14:paraId="4A270E8B">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3.上学年有一个学期综合测评成绩在班级内排名在前40%以外的；</w:t>
      </w:r>
    </w:p>
    <w:p w14:paraId="2C53D80F">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4.生活铺张浪费的；</w:t>
      </w:r>
    </w:p>
    <w:p w14:paraId="7188A8D9">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5.已(同期)享受国家或其他奖助学金（达到或超过5000元）的；</w:t>
      </w:r>
    </w:p>
    <w:p w14:paraId="0662846D">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6.其他与奖助学金设立意义相违背情况发生的。</w:t>
      </w:r>
    </w:p>
    <w:p w14:paraId="53641AD1">
      <w:pPr>
        <w:widowControl/>
        <w:spacing w:line="560" w:lineRule="exact"/>
        <w:ind w:firstLine="555"/>
        <w:rPr>
          <w:rFonts w:ascii="黑体" w:hAnsi="黑体" w:eastAsia="黑体" w:cs="Helvetica"/>
          <w:color w:val="333333"/>
          <w:kern w:val="0"/>
          <w:sz w:val="32"/>
          <w:szCs w:val="32"/>
        </w:rPr>
      </w:pPr>
      <w:r>
        <w:rPr>
          <w:rFonts w:hint="eastAsia" w:ascii="黑体" w:hAnsi="黑体" w:eastAsia="黑体" w:cs="Helvetica"/>
          <w:color w:val="333333"/>
          <w:kern w:val="0"/>
          <w:sz w:val="32"/>
          <w:szCs w:val="32"/>
        </w:rPr>
        <w:t>三、评审程序</w:t>
      </w:r>
    </w:p>
    <w:p w14:paraId="7A4400A9">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（一）指标分配。基金会、学生处根据百川名品公司意见将奖助学金指标分配到相关学院。</w:t>
      </w:r>
    </w:p>
    <w:p w14:paraId="778FA69E">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（二）学生个人申请。学生填写《安徽财经大学“百川名品奖助学金”申请审批表》，报送学院。</w:t>
      </w:r>
    </w:p>
    <w:p w14:paraId="22C2C7EA">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（三）学院初评。学院严格依照评选条件组织评选，并将通过初评的推荐学生名单公示3个工作日，无异议后报送校学生处。</w:t>
      </w:r>
    </w:p>
    <w:p w14:paraId="653DCA8D">
      <w:pPr>
        <w:widowControl/>
        <w:spacing w:line="560" w:lineRule="exact"/>
        <w:ind w:firstLine="555"/>
        <w:rPr>
          <w:rFonts w:ascii="仿宋" w:hAnsi="仿宋" w:eastAsia="仿宋" w:cs="Helvetica"/>
          <w:color w:val="333333"/>
          <w:kern w:val="0"/>
          <w:sz w:val="32"/>
          <w:szCs w:val="32"/>
        </w:rPr>
      </w:pPr>
      <w:r>
        <w:rPr>
          <w:rFonts w:hint="eastAsia" w:ascii="仿宋" w:hAnsi="仿宋" w:eastAsia="仿宋" w:cs="Helvetica"/>
          <w:color w:val="333333"/>
          <w:kern w:val="0"/>
          <w:sz w:val="32"/>
          <w:szCs w:val="32"/>
        </w:rPr>
        <w:t>（四）学校审核。由学生处组织审核，确定推荐学生名单，并面向全校公示3个工作日。</w:t>
      </w:r>
    </w:p>
    <w:p w14:paraId="02AB9769">
      <w:pPr>
        <w:spacing w:line="560" w:lineRule="exact"/>
        <w:ind w:firstLine="556"/>
        <w:rPr>
          <w:rFonts w:ascii="仿宋" w:hAnsi="仿宋" w:eastAsia="仿宋" w:cs="Helvetica"/>
          <w:color w:val="333333"/>
          <w:kern w:val="0"/>
          <w:sz w:val="32"/>
          <w:szCs w:val="32"/>
        </w:rPr>
      </w:pPr>
      <w:r>
        <w:rPr>
          <w:rFonts w:hint="eastAsia" w:ascii="仿宋" w:hAnsi="仿宋" w:eastAsia="仿宋" w:cs="Helvetica"/>
          <w:color w:val="333333"/>
          <w:kern w:val="0"/>
          <w:sz w:val="32"/>
          <w:szCs w:val="32"/>
        </w:rPr>
        <w:t>（五）项目管理委员会审定。学生处将公示期满且无异议的推荐学生名单及相关材料报项目管理委员会审定。审定后，学生处发文公布奖助学生名单。</w:t>
      </w:r>
    </w:p>
    <w:p w14:paraId="54A73AB1">
      <w:pPr>
        <w:spacing w:line="560" w:lineRule="exact"/>
        <w:ind w:firstLine="556"/>
        <w:rPr>
          <w:rFonts w:ascii="仿宋" w:hAnsi="仿宋" w:eastAsia="仿宋" w:cs="Helvetica"/>
          <w:color w:val="333333"/>
          <w:kern w:val="0"/>
          <w:sz w:val="32"/>
          <w:szCs w:val="32"/>
        </w:rPr>
      </w:pPr>
      <w:r>
        <w:rPr>
          <w:rFonts w:hint="eastAsia" w:ascii="仿宋" w:hAnsi="仿宋" w:eastAsia="仿宋" w:cs="Helvetica"/>
          <w:color w:val="333333"/>
          <w:kern w:val="0"/>
          <w:sz w:val="32"/>
          <w:szCs w:val="32"/>
        </w:rPr>
        <w:t>（六）奖助学金发放。学生处通过基金会财务系统将奖助学金发放到学生银行卡。</w:t>
      </w:r>
    </w:p>
    <w:p w14:paraId="0C1F3FA0">
      <w:pPr>
        <w:widowControl/>
        <w:spacing w:line="560" w:lineRule="exact"/>
        <w:ind w:firstLine="555"/>
        <w:rPr>
          <w:rFonts w:ascii="仿宋" w:hAnsi="仿宋" w:eastAsia="仿宋" w:cs="Helvetica"/>
          <w:color w:val="333333"/>
          <w:kern w:val="0"/>
          <w:sz w:val="32"/>
          <w:szCs w:val="32"/>
        </w:rPr>
      </w:pPr>
      <w:r>
        <w:rPr>
          <w:rFonts w:hint="eastAsia" w:ascii="宋体" w:hAnsi="宋体" w:eastAsia="宋体" w:cs="宋体"/>
          <w:color w:val="333333"/>
          <w:kern w:val="0"/>
          <w:sz w:val="32"/>
          <w:szCs w:val="32"/>
        </w:rPr>
        <w:t>  </w:t>
      </w:r>
    </w:p>
    <w:p w14:paraId="0D329553">
      <w:pPr>
        <w:widowControl/>
        <w:spacing w:line="560" w:lineRule="exact"/>
        <w:ind w:firstLine="555"/>
        <w:jc w:val="right"/>
        <w:rPr>
          <w:rFonts w:ascii="仿宋" w:hAnsi="仿宋" w:eastAsia="仿宋" w:cs="Helvetica"/>
          <w:color w:val="333333"/>
          <w:kern w:val="0"/>
          <w:sz w:val="32"/>
          <w:szCs w:val="32"/>
        </w:rPr>
      </w:pPr>
    </w:p>
    <w:p w14:paraId="5E057DDB">
      <w:pPr>
        <w:widowControl/>
        <w:spacing w:line="560" w:lineRule="exact"/>
        <w:ind w:firstLine="555"/>
        <w:jc w:val="right"/>
        <w:rPr>
          <w:rFonts w:ascii="仿宋" w:hAnsi="仿宋" w:eastAsia="仿宋" w:cs="Helvetica"/>
          <w:color w:val="333333"/>
          <w:kern w:val="0"/>
          <w:sz w:val="32"/>
          <w:szCs w:val="32"/>
        </w:rPr>
      </w:pPr>
      <w:bookmarkStart w:id="0" w:name="_GoBack"/>
      <w:bookmarkEnd w:id="0"/>
      <w:r>
        <w:rPr>
          <w:rFonts w:hint="eastAsia" w:ascii="宋体" w:hAnsi="宋体" w:eastAsia="宋体" w:cs="宋体"/>
          <w:color w:val="333333"/>
          <w:kern w:val="0"/>
          <w:sz w:val="32"/>
          <w:szCs w:val="32"/>
        </w:rPr>
        <w:t>  </w:t>
      </w:r>
    </w:p>
    <w:p w14:paraId="71D1C7F1">
      <w:pPr>
        <w:widowControl/>
        <w:spacing w:line="560" w:lineRule="exact"/>
        <w:ind w:right="420" w:firstLine="555"/>
        <w:jc w:val="center"/>
        <w:rPr>
          <w:rFonts w:ascii="仿宋" w:hAnsi="仿宋" w:eastAsia="仿宋" w:cs="Helvetica"/>
          <w:color w:val="333333"/>
          <w:kern w:val="0"/>
          <w:sz w:val="32"/>
          <w:szCs w:val="32"/>
        </w:rPr>
      </w:pPr>
      <w:r>
        <w:rPr>
          <w:rFonts w:hint="eastAsia" w:ascii="宋体" w:hAnsi="宋体" w:eastAsia="宋体" w:cs="宋体"/>
          <w:color w:val="333333"/>
          <w:kern w:val="0"/>
          <w:sz w:val="32"/>
          <w:szCs w:val="32"/>
        </w:rPr>
        <w:t>         </w:t>
      </w:r>
      <w:r>
        <w:rPr>
          <w:rFonts w:hint="eastAsia" w:ascii="仿宋" w:hAnsi="仿宋" w:eastAsia="仿宋" w:cs="Helvetica"/>
          <w:color w:val="333333"/>
          <w:kern w:val="0"/>
          <w:sz w:val="32"/>
          <w:szCs w:val="32"/>
        </w:rPr>
        <w:t>安徽财经大学学生处</w:t>
      </w:r>
    </w:p>
    <w:p w14:paraId="0CB549F9">
      <w:pPr>
        <w:widowControl/>
        <w:spacing w:line="560" w:lineRule="exact"/>
        <w:ind w:right="840"/>
        <w:jc w:val="center"/>
        <w:rPr>
          <w:rFonts w:ascii="仿宋" w:hAnsi="仿宋" w:eastAsia="仿宋" w:cs="Helvetica"/>
          <w:color w:val="333333"/>
          <w:kern w:val="0"/>
          <w:sz w:val="32"/>
          <w:szCs w:val="32"/>
        </w:rPr>
      </w:pPr>
      <w:r>
        <w:rPr>
          <w:rFonts w:hint="eastAsia" w:ascii="宋体" w:hAnsi="宋体" w:eastAsia="宋体" w:cs="宋体"/>
          <w:color w:val="333333"/>
          <w:kern w:val="0"/>
          <w:sz w:val="32"/>
          <w:szCs w:val="32"/>
        </w:rPr>
        <w:t>            </w:t>
      </w:r>
      <w:r>
        <w:rPr>
          <w:rFonts w:hint="eastAsia" w:ascii="仿宋" w:hAnsi="仿宋" w:eastAsia="仿宋" w:cs="Helvetica"/>
          <w:color w:val="333333"/>
          <w:kern w:val="0"/>
          <w:sz w:val="32"/>
          <w:szCs w:val="32"/>
        </w:rPr>
        <w:t>安徽财经大学教育基金会</w:t>
      </w:r>
    </w:p>
    <w:p w14:paraId="6AD7FDA9">
      <w:pPr>
        <w:widowControl/>
        <w:spacing w:line="560" w:lineRule="exact"/>
        <w:ind w:firstLine="555"/>
        <w:jc w:val="center"/>
        <w:rPr>
          <w:rFonts w:ascii="仿宋" w:hAnsi="仿宋" w:eastAsia="仿宋" w:cs="Helvetica"/>
          <w:color w:val="333333"/>
          <w:kern w:val="0"/>
          <w:sz w:val="32"/>
          <w:szCs w:val="32"/>
        </w:rPr>
      </w:pPr>
      <w:r>
        <w:rPr>
          <w:rFonts w:hint="eastAsia" w:ascii="宋体" w:hAnsi="宋体" w:eastAsia="宋体" w:cs="宋体"/>
          <w:color w:val="333333"/>
          <w:kern w:val="0"/>
          <w:sz w:val="32"/>
          <w:szCs w:val="32"/>
        </w:rPr>
        <w:t xml:space="preserve">         </w:t>
      </w:r>
      <w:r>
        <w:rPr>
          <w:rFonts w:hint="eastAsia" w:ascii="仿宋" w:hAnsi="仿宋" w:eastAsia="仿宋" w:cs="Helvetica"/>
          <w:color w:val="333333"/>
          <w:kern w:val="0"/>
          <w:sz w:val="32"/>
          <w:szCs w:val="32"/>
        </w:rPr>
        <w:t>202</w:t>
      </w:r>
      <w:r>
        <w:rPr>
          <w:rFonts w:hint="eastAsia" w:ascii="仿宋" w:hAnsi="仿宋" w:eastAsia="仿宋" w:cs="Helvetica"/>
          <w:color w:val="333333"/>
          <w:kern w:val="0"/>
          <w:sz w:val="32"/>
          <w:szCs w:val="32"/>
          <w:lang w:val="en-US" w:eastAsia="zh-CN"/>
        </w:rPr>
        <w:t>5</w:t>
      </w:r>
      <w:r>
        <w:rPr>
          <w:rFonts w:hint="eastAsia" w:ascii="仿宋" w:hAnsi="仿宋" w:eastAsia="仿宋" w:cs="Helvetica"/>
          <w:color w:val="333333"/>
          <w:kern w:val="0"/>
          <w:sz w:val="32"/>
          <w:szCs w:val="32"/>
        </w:rPr>
        <w:t>年</w:t>
      </w:r>
      <w:r>
        <w:rPr>
          <w:rFonts w:hint="eastAsia" w:ascii="仿宋" w:hAnsi="仿宋" w:eastAsia="仿宋" w:cs="Helvetica"/>
          <w:color w:val="333333"/>
          <w:kern w:val="0"/>
          <w:sz w:val="32"/>
          <w:szCs w:val="32"/>
          <w:lang w:val="en-US" w:eastAsia="zh-CN"/>
        </w:rPr>
        <w:t>4</w:t>
      </w:r>
      <w:r>
        <w:rPr>
          <w:rFonts w:hint="eastAsia" w:ascii="仿宋" w:hAnsi="仿宋" w:eastAsia="仿宋" w:cs="Helvetica"/>
          <w:color w:val="333333"/>
          <w:kern w:val="0"/>
          <w:sz w:val="32"/>
          <w:szCs w:val="32"/>
        </w:rPr>
        <w:t>月</w:t>
      </w:r>
      <w:r>
        <w:rPr>
          <w:rFonts w:hint="eastAsia" w:ascii="仿宋" w:hAnsi="仿宋" w:eastAsia="仿宋" w:cs="Helvetica"/>
          <w:color w:val="333333"/>
          <w:kern w:val="0"/>
          <w:sz w:val="32"/>
          <w:szCs w:val="32"/>
          <w:lang w:val="en-US" w:eastAsia="zh-CN"/>
        </w:rPr>
        <w:t>10</w:t>
      </w:r>
      <w:r>
        <w:rPr>
          <w:rFonts w:hint="eastAsia" w:ascii="仿宋" w:hAnsi="仿宋" w:eastAsia="仿宋" w:cs="Helvetica"/>
          <w:color w:val="333333"/>
          <w:kern w:val="0"/>
          <w:sz w:val="32"/>
          <w:szCs w:val="32"/>
        </w:rPr>
        <w:t>日</w:t>
      </w:r>
    </w:p>
    <w:p w14:paraId="16439231">
      <w:pPr>
        <w:spacing w:line="560" w:lineRule="exac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B7A158-3C5F-4691-9268-D2E83371C7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embedRegular r:id="rId2" w:fontKey="{5E6E5364-8451-45D5-A3D4-A30C773E40BF}"/>
  </w:font>
  <w:font w:name="方正小标宋简体">
    <w:panose1 w:val="02000000000000000000"/>
    <w:charset w:val="86"/>
    <w:family w:val="auto"/>
    <w:pitch w:val="default"/>
    <w:sig w:usb0="00000001" w:usb1="080E0000" w:usb2="00000000" w:usb3="00000000" w:csb0="00040000" w:csb1="00000000"/>
    <w:embedRegular r:id="rId3" w:fontKey="{36AAAC02-422A-4907-9131-7E9791CB6E5D}"/>
  </w:font>
  <w:font w:name="仿宋">
    <w:panose1 w:val="02010609060101010101"/>
    <w:charset w:val="86"/>
    <w:family w:val="modern"/>
    <w:pitch w:val="default"/>
    <w:sig w:usb0="800002BF" w:usb1="38CF7CFA" w:usb2="00000016" w:usb3="00000000" w:csb0="00040001" w:csb1="00000000"/>
    <w:embedRegular r:id="rId4" w:fontKey="{68FC0408-B03E-4844-899A-4398B8B37E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123"/>
    <w:rsid w:val="000041D9"/>
    <w:rsid w:val="00011C54"/>
    <w:rsid w:val="00016946"/>
    <w:rsid w:val="000511FA"/>
    <w:rsid w:val="000A021F"/>
    <w:rsid w:val="000F751E"/>
    <w:rsid w:val="00142D09"/>
    <w:rsid w:val="00154C2A"/>
    <w:rsid w:val="001808C4"/>
    <w:rsid w:val="001B7738"/>
    <w:rsid w:val="00211123"/>
    <w:rsid w:val="00251E5C"/>
    <w:rsid w:val="002F0E88"/>
    <w:rsid w:val="00312762"/>
    <w:rsid w:val="00324EDC"/>
    <w:rsid w:val="0035321C"/>
    <w:rsid w:val="00362E86"/>
    <w:rsid w:val="005C725A"/>
    <w:rsid w:val="006878DC"/>
    <w:rsid w:val="006B17E2"/>
    <w:rsid w:val="007954B4"/>
    <w:rsid w:val="0085231D"/>
    <w:rsid w:val="00885B04"/>
    <w:rsid w:val="009550F8"/>
    <w:rsid w:val="009D4351"/>
    <w:rsid w:val="009E000E"/>
    <w:rsid w:val="00A42869"/>
    <w:rsid w:val="00B24A17"/>
    <w:rsid w:val="00B64624"/>
    <w:rsid w:val="00BD5DE1"/>
    <w:rsid w:val="00BF7677"/>
    <w:rsid w:val="00C50F4D"/>
    <w:rsid w:val="00DD64F0"/>
    <w:rsid w:val="00EA1A0C"/>
    <w:rsid w:val="49074714"/>
    <w:rsid w:val="50F92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
    <w:rPr>
      <w:rFonts w:ascii="宋体" w:hAnsi="宋体" w:eastAsia="宋体" w:cs="宋体"/>
      <w:b/>
      <w:bCs/>
      <w:kern w:val="36"/>
      <w:sz w:val="48"/>
      <w:szCs w:val="48"/>
    </w:rPr>
  </w:style>
  <w:style w:type="paragraph" w:customStyle="1" w:styleId="8">
    <w:name w:val="arti-metas1"/>
    <w:basedOn w:val="1"/>
    <w:qFormat/>
    <w:uiPriority w:val="0"/>
    <w:pPr>
      <w:widowControl/>
      <w:spacing w:before="100" w:beforeAutospacing="1" w:after="100" w:afterAutospacing="1" w:line="360" w:lineRule="atLeast"/>
      <w:jc w:val="center"/>
    </w:pPr>
    <w:rPr>
      <w:rFonts w:ascii="Helvetica" w:hAnsi="Helvetica" w:eastAsia="宋体" w:cs="Helvetica"/>
      <w:color w:val="333333"/>
      <w:kern w:val="0"/>
      <w:szCs w:val="21"/>
    </w:rPr>
  </w:style>
  <w:style w:type="character" w:customStyle="1" w:styleId="9">
    <w:name w:val="wp_visitcount1"/>
    <w:basedOn w:val="6"/>
    <w:qFormat/>
    <w:uiPriority w:val="0"/>
    <w:rPr>
      <w:vanish/>
      <w:color w:val="787878"/>
      <w:sz w:val="18"/>
      <w:szCs w:val="18"/>
    </w:r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915</Words>
  <Characters>946</Characters>
  <Lines>7</Lines>
  <Paragraphs>2</Paragraphs>
  <TotalTime>16</TotalTime>
  <ScaleCrop>false</ScaleCrop>
  <LinksUpToDate>false</LinksUpToDate>
  <CharactersWithSpaces>980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2020-12-03T02:13:00Z</dcterms:created>
  <dc:creator>hp</dc:creator>
  <cp:lastModifiedBy>嘉言懿行</cp:lastModifiedBy>
  <dcterms:modified xsi:type="dcterms:W3CDTF">2025-04-10T07:48:43Z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02B52600EE164762B51248B6E7E841D6</vt:lpwstr>
  </property>
  <property fmtid="{D5CDD505-2E9C-101B-9397-08002B2CF9AE}" pid="4" name="KSOTemplateDocerSaveRecord">
    <vt:lpwstr>eyJoZGlkIjoiY2UxNGI4NzBlNTE2ZTEwOTgzMDU3NTdjZDc5NWVhNDciLCJ1c2VySWQiOiIzNDk4Nzc0NDcifQ==</vt:lpwstr>
  </property>
</Properties>
</file>